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07" w:rsidRPr="00DD5907" w:rsidRDefault="00DD5907" w:rsidP="00DD5907">
      <w:pPr>
        <w:shd w:val="clear" w:color="auto" w:fill="FFFFFF"/>
        <w:spacing w:after="0" w:line="240" w:lineRule="auto"/>
        <w:ind w:left="72"/>
        <w:jc w:val="center"/>
        <w:rPr>
          <w:rFonts w:ascii="Arial" w:eastAsia="Times New Roman" w:hAnsi="Arial" w:cs="Arial"/>
          <w:color w:val="000000"/>
          <w:spacing w:val="7"/>
          <w:sz w:val="24"/>
          <w:szCs w:val="24"/>
        </w:rPr>
      </w:pPr>
      <w:r w:rsidRPr="00EE3F27">
        <w:rPr>
          <w:rFonts w:ascii="Arial" w:eastAsia="Times New Roman" w:hAnsi="Arial" w:cs="Arial"/>
          <w:noProof/>
          <w:color w:val="616161"/>
          <w:spacing w:val="7"/>
          <w:sz w:val="24"/>
          <w:szCs w:val="24"/>
        </w:rPr>
        <w:drawing>
          <wp:inline distT="0" distB="0" distL="0" distR="0" wp14:anchorId="4B1AA712" wp14:editId="58884A2F">
            <wp:extent cx="542925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907" w:rsidRPr="00DD5907" w:rsidRDefault="00DD5907" w:rsidP="00DD5907">
      <w:pPr>
        <w:shd w:val="clear" w:color="auto" w:fill="FFFFFF"/>
        <w:spacing w:after="0" w:line="240" w:lineRule="auto"/>
        <w:ind w:left="72"/>
        <w:jc w:val="center"/>
        <w:rPr>
          <w:rFonts w:ascii="Arial" w:eastAsia="Times New Roman" w:hAnsi="Arial" w:cs="Arial"/>
          <w:b/>
          <w:spacing w:val="7"/>
          <w:sz w:val="24"/>
          <w:szCs w:val="24"/>
        </w:rPr>
      </w:pPr>
      <w:r w:rsidRPr="00DD5907">
        <w:rPr>
          <w:rFonts w:ascii="Arial" w:eastAsia="Times New Roman" w:hAnsi="Arial" w:cs="Arial"/>
          <w:b/>
          <w:spacing w:val="7"/>
          <w:sz w:val="24"/>
          <w:szCs w:val="24"/>
        </w:rPr>
        <w:t>СОВЕТ НАРОДНЫХ ДЕПУТАТОВ</w:t>
      </w:r>
    </w:p>
    <w:p w:rsidR="00DD5907" w:rsidRPr="00DD5907" w:rsidRDefault="00DD5907" w:rsidP="00DD5907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pacing w:val="7"/>
          <w:sz w:val="24"/>
          <w:szCs w:val="24"/>
        </w:rPr>
      </w:pPr>
      <w:r w:rsidRPr="00DD5907">
        <w:rPr>
          <w:rFonts w:ascii="Arial" w:eastAsia="Times New Roman" w:hAnsi="Arial" w:cs="Arial"/>
          <w:b/>
          <w:spacing w:val="7"/>
          <w:sz w:val="24"/>
          <w:szCs w:val="24"/>
        </w:rPr>
        <w:t xml:space="preserve">ГОРОДСКОГО ПОСЕЛЕНИЯ - </w:t>
      </w:r>
      <w:r w:rsidRPr="00DD5907">
        <w:rPr>
          <w:rFonts w:ascii="Arial" w:eastAsia="Times New Roman" w:hAnsi="Arial" w:cs="Arial"/>
          <w:b/>
          <w:spacing w:val="6"/>
          <w:sz w:val="24"/>
          <w:szCs w:val="24"/>
        </w:rPr>
        <w:t xml:space="preserve">ГОРОД СЕМИЛУКИ ПЯТОГО СОЗЫВА </w:t>
      </w:r>
      <w:r w:rsidRPr="00DD5907">
        <w:rPr>
          <w:rFonts w:ascii="Arial" w:eastAsia="Times New Roman" w:hAnsi="Arial" w:cs="Arial"/>
          <w:b/>
          <w:spacing w:val="7"/>
          <w:sz w:val="24"/>
          <w:szCs w:val="24"/>
        </w:rPr>
        <w:t>СЕМИЛУКСКОГО МУНИЦИПАЛЬНОГО РАЙОНА ВОРОНЕЖСКОЙ ОБЛАСТИ</w:t>
      </w:r>
    </w:p>
    <w:p w:rsidR="00DD5907" w:rsidRPr="00DD5907" w:rsidRDefault="00DD5907" w:rsidP="00DD59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D5907">
        <w:rPr>
          <w:rFonts w:ascii="Arial" w:eastAsia="Times New Roman" w:hAnsi="Arial" w:cs="Arial"/>
          <w:sz w:val="24"/>
          <w:szCs w:val="24"/>
        </w:rPr>
        <w:t>ул. Ленина, 11, г. Семилуки, 396901</w:t>
      </w:r>
    </w:p>
    <w:p w:rsidR="00DD5907" w:rsidRPr="00DD5907" w:rsidRDefault="00DD5907" w:rsidP="00DD59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8504A" w:rsidRPr="00DD5907" w:rsidRDefault="00F8504A" w:rsidP="00F8504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D5907">
        <w:rPr>
          <w:rFonts w:ascii="Arial" w:eastAsia="Times New Roman" w:hAnsi="Arial" w:cs="Arial"/>
          <w:b/>
          <w:sz w:val="24"/>
          <w:szCs w:val="24"/>
          <w:lang w:eastAsia="ar-SA"/>
        </w:rPr>
        <w:t>РЕШЕНИЕ</w:t>
      </w:r>
    </w:p>
    <w:p w:rsidR="00DD5907" w:rsidRPr="00DD5907" w:rsidRDefault="00DD5907" w:rsidP="00DD59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DD5907" w:rsidRPr="00DD5907" w:rsidRDefault="00DD5907" w:rsidP="00DD59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DD5907">
        <w:rPr>
          <w:rFonts w:ascii="Arial" w:eastAsia="Times New Roman" w:hAnsi="Arial" w:cs="Arial"/>
          <w:sz w:val="24"/>
          <w:szCs w:val="24"/>
          <w:lang w:eastAsia="ar-SA"/>
        </w:rPr>
        <w:t xml:space="preserve">от «23» июня 2020 г. № </w:t>
      </w:r>
      <w:r w:rsidR="003C6D5D">
        <w:rPr>
          <w:rFonts w:ascii="Arial" w:eastAsia="Times New Roman" w:hAnsi="Arial" w:cs="Arial"/>
          <w:sz w:val="24"/>
          <w:szCs w:val="24"/>
          <w:lang w:eastAsia="ar-SA"/>
        </w:rPr>
        <w:t>283</w:t>
      </w:r>
    </w:p>
    <w:p w:rsidR="00D25841" w:rsidRPr="00EE3F27" w:rsidRDefault="00D2584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25841" w:rsidRPr="00EE3F27" w:rsidRDefault="00B71B7C" w:rsidP="00E335C2">
      <w:pPr>
        <w:tabs>
          <w:tab w:val="left" w:pos="4678"/>
          <w:tab w:val="left" w:pos="5245"/>
        </w:tabs>
        <w:spacing w:after="0"/>
        <w:ind w:right="4109"/>
        <w:jc w:val="both"/>
        <w:rPr>
          <w:rFonts w:ascii="Arial" w:eastAsia="Times New Roman" w:hAnsi="Arial" w:cs="Arial"/>
          <w:sz w:val="24"/>
          <w:szCs w:val="24"/>
        </w:rPr>
      </w:pPr>
      <w:r w:rsidRPr="00EE3F27">
        <w:rPr>
          <w:rFonts w:ascii="Arial" w:eastAsia="Times New Roman" w:hAnsi="Arial" w:cs="Arial"/>
          <w:sz w:val="24"/>
          <w:szCs w:val="24"/>
        </w:rPr>
        <w:t xml:space="preserve">О мерах поддержки субъектов торговли, заключивших договоры на размещение нестационарных торговых объектов </w:t>
      </w:r>
    </w:p>
    <w:p w:rsidR="00D25841" w:rsidRPr="00EE3F27" w:rsidRDefault="00D2584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D25841" w:rsidRPr="00EE3F27" w:rsidRDefault="00B71B7C" w:rsidP="00E335C2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EE3F27">
        <w:rPr>
          <w:rFonts w:ascii="Arial" w:eastAsia="Times New Roman" w:hAnsi="Arial" w:cs="Arial"/>
          <w:sz w:val="24"/>
          <w:szCs w:val="24"/>
        </w:rPr>
        <w:t>В целях поддержки субъектов торговли в условиях снижения потребительского спроса в связи с осуществлением мер по противодействию</w:t>
      </w:r>
      <w:proofErr w:type="gramEnd"/>
      <w:r w:rsidRPr="00EE3F27">
        <w:rPr>
          <w:rFonts w:ascii="Arial" w:eastAsia="Times New Roman" w:hAnsi="Arial" w:cs="Arial"/>
          <w:sz w:val="24"/>
          <w:szCs w:val="24"/>
        </w:rPr>
        <w:t xml:space="preserve"> распространению на территории городского поселения - город Семилуки новой </w:t>
      </w:r>
      <w:proofErr w:type="spellStart"/>
      <w:r w:rsidRPr="00EE3F27">
        <w:rPr>
          <w:rFonts w:ascii="Arial" w:eastAsia="Times New Roman" w:hAnsi="Arial" w:cs="Arial"/>
          <w:sz w:val="24"/>
          <w:szCs w:val="24"/>
        </w:rPr>
        <w:t>коронавирусной</w:t>
      </w:r>
      <w:proofErr w:type="spellEnd"/>
      <w:r w:rsidRPr="00EE3F27">
        <w:rPr>
          <w:rFonts w:ascii="Arial" w:eastAsia="Times New Roman" w:hAnsi="Arial" w:cs="Arial"/>
          <w:sz w:val="24"/>
          <w:szCs w:val="24"/>
        </w:rPr>
        <w:t xml:space="preserve"> инфекции (COVID-19)</w:t>
      </w:r>
      <w:r w:rsidR="003C6D5D">
        <w:rPr>
          <w:rFonts w:ascii="Arial" w:eastAsia="Times New Roman" w:hAnsi="Arial" w:cs="Arial"/>
          <w:sz w:val="24"/>
          <w:szCs w:val="24"/>
        </w:rPr>
        <w:t>,</w:t>
      </w:r>
      <w:r w:rsidRPr="00EE3F27">
        <w:rPr>
          <w:rFonts w:ascii="Arial" w:eastAsia="Times New Roman" w:hAnsi="Arial" w:cs="Arial"/>
          <w:sz w:val="24"/>
          <w:szCs w:val="24"/>
        </w:rPr>
        <w:t xml:space="preserve"> Совет народных депутатов городского поселения - город Семилуки</w:t>
      </w:r>
      <w:r w:rsidR="00EE3F27">
        <w:rPr>
          <w:rFonts w:ascii="Arial" w:eastAsia="Times New Roman" w:hAnsi="Arial" w:cs="Arial"/>
          <w:sz w:val="24"/>
          <w:szCs w:val="24"/>
        </w:rPr>
        <w:t xml:space="preserve"> </w:t>
      </w:r>
    </w:p>
    <w:p w:rsidR="00D25841" w:rsidRPr="00EE3F27" w:rsidRDefault="00B71B7C" w:rsidP="00E335C2">
      <w:pPr>
        <w:spacing w:after="100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E3F27">
        <w:rPr>
          <w:rFonts w:ascii="Arial" w:eastAsia="Times New Roman" w:hAnsi="Arial" w:cs="Arial"/>
          <w:b/>
          <w:sz w:val="24"/>
          <w:szCs w:val="24"/>
        </w:rPr>
        <w:t>РЕШИЛ:</w:t>
      </w:r>
    </w:p>
    <w:p w:rsidR="00D25841" w:rsidRPr="00EE3F27" w:rsidRDefault="00B71B7C" w:rsidP="00E335C2">
      <w:pPr>
        <w:tabs>
          <w:tab w:val="left" w:pos="0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3F27">
        <w:rPr>
          <w:rFonts w:ascii="Arial" w:eastAsia="Times New Roman" w:hAnsi="Arial" w:cs="Arial"/>
          <w:sz w:val="24"/>
          <w:szCs w:val="24"/>
        </w:rPr>
        <w:t>1. Субъекты торговли, деятельность которых была ограничена указом губернатора Воронежской области от 03.04.2020</w:t>
      </w:r>
      <w:r w:rsidR="00EF7BB0" w:rsidRPr="00EE3F27">
        <w:rPr>
          <w:rFonts w:ascii="Arial" w:eastAsia="Times New Roman" w:hAnsi="Arial" w:cs="Arial"/>
          <w:sz w:val="24"/>
          <w:szCs w:val="24"/>
        </w:rPr>
        <w:t xml:space="preserve"> г.</w:t>
      </w:r>
      <w:r w:rsidRPr="00EE3F27">
        <w:rPr>
          <w:rFonts w:ascii="Arial" w:eastAsia="Times New Roman" w:hAnsi="Arial" w:cs="Arial"/>
          <w:sz w:val="24"/>
          <w:szCs w:val="24"/>
        </w:rPr>
        <w:t xml:space="preserve"> № 138-у «О мерах по обеспечению на территории Воронежской области санитарно-эпидемиологического благополучия населения в связи с распространением новой </w:t>
      </w:r>
      <w:proofErr w:type="spellStart"/>
      <w:r w:rsidRPr="00EE3F27">
        <w:rPr>
          <w:rFonts w:ascii="Arial" w:eastAsia="Times New Roman" w:hAnsi="Arial" w:cs="Arial"/>
          <w:sz w:val="24"/>
          <w:szCs w:val="24"/>
        </w:rPr>
        <w:t>коронавирусной</w:t>
      </w:r>
      <w:proofErr w:type="spellEnd"/>
      <w:r w:rsidRPr="00EE3F27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EE3F27">
        <w:rPr>
          <w:rFonts w:ascii="Arial" w:eastAsia="Times New Roman" w:hAnsi="Arial" w:cs="Arial"/>
          <w:sz w:val="24"/>
          <w:szCs w:val="24"/>
        </w:rPr>
        <w:t>инфекции (COVID-19)», указом губернатора Воронежской области от 13.05.2020</w:t>
      </w:r>
      <w:r w:rsidR="00EF7BB0" w:rsidRPr="00EE3F27">
        <w:rPr>
          <w:rFonts w:ascii="Arial" w:eastAsia="Times New Roman" w:hAnsi="Arial" w:cs="Arial"/>
          <w:sz w:val="24"/>
          <w:szCs w:val="24"/>
        </w:rPr>
        <w:t xml:space="preserve"> г.</w:t>
      </w:r>
      <w:r w:rsidRPr="00EE3F27">
        <w:rPr>
          <w:rFonts w:ascii="Arial" w:eastAsia="Times New Roman" w:hAnsi="Arial" w:cs="Arial"/>
          <w:sz w:val="24"/>
          <w:szCs w:val="24"/>
        </w:rPr>
        <w:t xml:space="preserve"> № 184-у «О продлении действия мер по обеспечению на территории Воронежской области санитарно-эпидемиологического благополучия населения в связи с распространением новой </w:t>
      </w:r>
      <w:proofErr w:type="spellStart"/>
      <w:r w:rsidRPr="00EE3F27">
        <w:rPr>
          <w:rFonts w:ascii="Arial" w:eastAsia="Times New Roman" w:hAnsi="Arial" w:cs="Arial"/>
          <w:sz w:val="24"/>
          <w:szCs w:val="24"/>
        </w:rPr>
        <w:t>коронавирусной</w:t>
      </w:r>
      <w:proofErr w:type="spellEnd"/>
      <w:r w:rsidRPr="00EE3F27">
        <w:rPr>
          <w:rFonts w:ascii="Arial" w:eastAsia="Times New Roman" w:hAnsi="Arial" w:cs="Arial"/>
          <w:sz w:val="24"/>
          <w:szCs w:val="24"/>
        </w:rPr>
        <w:t xml:space="preserve"> инфекции (COVID-19)» (далее – указы губернатора), на основании их обращения об освобождении от оплаты по договорам на размещение нестационарных торговых объектов, заключенным до принятия указов губернатора, освобождаются от указанной оплаты за каждый</w:t>
      </w:r>
      <w:proofErr w:type="gramEnd"/>
      <w:r w:rsidRPr="00EE3F27">
        <w:rPr>
          <w:rFonts w:ascii="Arial" w:eastAsia="Times New Roman" w:hAnsi="Arial" w:cs="Arial"/>
          <w:sz w:val="24"/>
          <w:szCs w:val="24"/>
        </w:rPr>
        <w:t xml:space="preserve"> календарный день прекращения деятельности</w:t>
      </w:r>
      <w:r w:rsidRPr="00EE3F27">
        <w:rPr>
          <w:rFonts w:ascii="Arial" w:eastAsia="Calibri" w:hAnsi="Arial" w:cs="Arial"/>
          <w:sz w:val="24"/>
          <w:szCs w:val="24"/>
        </w:rPr>
        <w:t xml:space="preserve"> </w:t>
      </w:r>
      <w:r w:rsidRPr="00EE3F27">
        <w:rPr>
          <w:rFonts w:ascii="Arial" w:eastAsia="Times New Roman" w:hAnsi="Arial" w:cs="Arial"/>
          <w:sz w:val="24"/>
          <w:szCs w:val="24"/>
        </w:rPr>
        <w:t>в нестационарном торговом объекте на срок действия ограничительных мер, направленных на обеспечение санитарно-эпидемиологического благополучия населения в условиях введения режима повышенной готовности, установленный указами губернатора.</w:t>
      </w:r>
    </w:p>
    <w:p w:rsidR="00D25841" w:rsidRPr="00EE3F27" w:rsidRDefault="00B71B7C" w:rsidP="00E335C2">
      <w:pPr>
        <w:tabs>
          <w:tab w:val="left" w:pos="0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3F27">
        <w:rPr>
          <w:rFonts w:ascii="Arial" w:eastAsia="Times New Roman" w:hAnsi="Arial" w:cs="Arial"/>
          <w:sz w:val="24"/>
          <w:szCs w:val="24"/>
        </w:rPr>
        <w:t>2.</w:t>
      </w:r>
      <w:r w:rsidRPr="00EE3F27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EE3F27">
        <w:rPr>
          <w:rFonts w:ascii="Arial" w:eastAsia="Times New Roman" w:hAnsi="Arial" w:cs="Arial"/>
          <w:sz w:val="24"/>
          <w:szCs w:val="24"/>
        </w:rPr>
        <w:t xml:space="preserve">Субъекты торговли, за исключением указанных в пункте 1 настоящего решения, осуществляющие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EE3F27">
        <w:rPr>
          <w:rFonts w:ascii="Arial" w:eastAsia="Times New Roman" w:hAnsi="Arial" w:cs="Arial"/>
          <w:sz w:val="24"/>
          <w:szCs w:val="24"/>
        </w:rPr>
        <w:t>коронавирусной</w:t>
      </w:r>
      <w:proofErr w:type="spellEnd"/>
      <w:r w:rsidRPr="00EE3F27">
        <w:rPr>
          <w:rFonts w:ascii="Arial" w:eastAsia="Times New Roman" w:hAnsi="Arial" w:cs="Arial"/>
          <w:sz w:val="24"/>
          <w:szCs w:val="24"/>
        </w:rPr>
        <w:t xml:space="preserve"> инфекции и вошедших в соответствующий перечень, утвержденный постановлением Правительства Российской Федерации от 03.04.2020</w:t>
      </w:r>
      <w:r w:rsidR="00EF7BB0" w:rsidRPr="00EE3F27">
        <w:rPr>
          <w:rFonts w:ascii="Arial" w:eastAsia="Times New Roman" w:hAnsi="Arial" w:cs="Arial"/>
          <w:sz w:val="24"/>
          <w:szCs w:val="24"/>
        </w:rPr>
        <w:t>г.</w:t>
      </w:r>
      <w:r w:rsidR="00EE3F27">
        <w:rPr>
          <w:rFonts w:ascii="Arial" w:eastAsia="Times New Roman" w:hAnsi="Arial" w:cs="Arial"/>
          <w:sz w:val="24"/>
          <w:szCs w:val="24"/>
        </w:rPr>
        <w:t xml:space="preserve"> </w:t>
      </w:r>
      <w:r w:rsidRPr="00EE3F27">
        <w:rPr>
          <w:rFonts w:ascii="Arial" w:eastAsia="Times New Roman" w:hAnsi="Arial" w:cs="Arial"/>
          <w:sz w:val="24"/>
          <w:szCs w:val="24"/>
        </w:rPr>
        <w:t>№ 434 «Об утверждении перечня отраслей российской экономики, в наибольшей степени пострадавших в условиях ухудшения ситуации в результате</w:t>
      </w:r>
      <w:proofErr w:type="gramEnd"/>
      <w:r w:rsidRPr="00EE3F27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EE3F27">
        <w:rPr>
          <w:rFonts w:ascii="Arial" w:eastAsia="Times New Roman" w:hAnsi="Arial" w:cs="Arial"/>
          <w:sz w:val="24"/>
          <w:szCs w:val="24"/>
        </w:rPr>
        <w:lastRenderedPageBreak/>
        <w:t xml:space="preserve">распространения новой </w:t>
      </w:r>
      <w:proofErr w:type="spellStart"/>
      <w:r w:rsidRPr="00EE3F27">
        <w:rPr>
          <w:rFonts w:ascii="Arial" w:eastAsia="Times New Roman" w:hAnsi="Arial" w:cs="Arial"/>
          <w:sz w:val="24"/>
          <w:szCs w:val="24"/>
        </w:rPr>
        <w:t>коронавирусной</w:t>
      </w:r>
      <w:proofErr w:type="spellEnd"/>
      <w:r w:rsidRPr="00EE3F27">
        <w:rPr>
          <w:rFonts w:ascii="Arial" w:eastAsia="Times New Roman" w:hAnsi="Arial" w:cs="Arial"/>
          <w:sz w:val="24"/>
          <w:szCs w:val="24"/>
        </w:rPr>
        <w:t xml:space="preserve"> инфекции», имеющие договор на размещение нестационарного торгового объекта, по условиям которого группа реализуемых товаров соответствует сфере деятельности в отраслях российской экономики, вошедших в вышеуказанный перечень, на основании их обращения об освобождении от оплаты по договорам на размещение нестационарных торговых объектов, заключенным до принятия указов губернатора, освобождаются от части указанной оплаты в размере 50% за каждый календарный день</w:t>
      </w:r>
      <w:proofErr w:type="gramEnd"/>
      <w:r w:rsidRPr="00EE3F27">
        <w:rPr>
          <w:rFonts w:ascii="Arial" w:eastAsia="Times New Roman" w:hAnsi="Arial" w:cs="Arial"/>
          <w:sz w:val="24"/>
          <w:szCs w:val="24"/>
        </w:rPr>
        <w:t xml:space="preserve"> действия ограничительных мер, направленных на обеспечение санитарно-эпидемиологического благополучия населения в условиях введения режима повышенной готовности, </w:t>
      </w:r>
      <w:proofErr w:type="gramStart"/>
      <w:r w:rsidRPr="00EE3F27">
        <w:rPr>
          <w:rFonts w:ascii="Arial" w:eastAsia="Times New Roman" w:hAnsi="Arial" w:cs="Arial"/>
          <w:sz w:val="24"/>
          <w:szCs w:val="24"/>
        </w:rPr>
        <w:t>установленный</w:t>
      </w:r>
      <w:proofErr w:type="gramEnd"/>
      <w:r w:rsidRPr="00EE3F27">
        <w:rPr>
          <w:rFonts w:ascii="Arial" w:eastAsia="Times New Roman" w:hAnsi="Arial" w:cs="Arial"/>
          <w:sz w:val="24"/>
          <w:szCs w:val="24"/>
        </w:rPr>
        <w:t xml:space="preserve"> указами губернатора.</w:t>
      </w:r>
    </w:p>
    <w:p w:rsidR="00D25841" w:rsidRPr="00EE3F27" w:rsidRDefault="00B71B7C" w:rsidP="00E335C2">
      <w:pPr>
        <w:tabs>
          <w:tab w:val="left" w:pos="-284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3F27">
        <w:rPr>
          <w:rFonts w:ascii="Arial" w:eastAsia="Times New Roman" w:hAnsi="Arial" w:cs="Arial"/>
          <w:sz w:val="24"/>
          <w:szCs w:val="24"/>
        </w:rPr>
        <w:t>3. На основании обращения субъекта торговли,</w:t>
      </w:r>
      <w:r w:rsidRPr="00EE3F27">
        <w:rPr>
          <w:rFonts w:ascii="Arial" w:eastAsia="Calibri" w:hAnsi="Arial" w:cs="Arial"/>
          <w:sz w:val="24"/>
          <w:szCs w:val="24"/>
        </w:rPr>
        <w:t xml:space="preserve"> </w:t>
      </w:r>
      <w:r w:rsidRPr="00EE3F27">
        <w:rPr>
          <w:rFonts w:ascii="Arial" w:eastAsia="Times New Roman" w:hAnsi="Arial" w:cs="Arial"/>
          <w:sz w:val="24"/>
          <w:szCs w:val="24"/>
        </w:rPr>
        <w:t xml:space="preserve">содержащего обоснование невозможности осуществления деятельности, связанной с принятием указов губернатора либо содержащего </w:t>
      </w:r>
      <w:proofErr w:type="gramStart"/>
      <w:r w:rsidRPr="00EE3F27">
        <w:rPr>
          <w:rFonts w:ascii="Arial" w:eastAsia="Times New Roman" w:hAnsi="Arial" w:cs="Arial"/>
          <w:sz w:val="24"/>
          <w:szCs w:val="24"/>
        </w:rPr>
        <w:t>обоснование</w:t>
      </w:r>
      <w:proofErr w:type="gramEnd"/>
      <w:r w:rsidRPr="00EE3F27">
        <w:rPr>
          <w:rFonts w:ascii="Arial" w:eastAsia="Times New Roman" w:hAnsi="Arial" w:cs="Arial"/>
          <w:sz w:val="24"/>
          <w:szCs w:val="24"/>
        </w:rPr>
        <w:t xml:space="preserve"> указанное в пункте 2 настоящего решения, поступившего не позднее 30 календарных дней с даты отмены режима повышенной готовности на территории Воронежской области, решение о предоставлении освобождения от оплаты по договору на размещение нестационарного торгового объекта принимается в течение 30 календарных дней с даты обращения субъекта торговли в соответствии с правовым актом администрации городского поселения - город Семилуки.</w:t>
      </w:r>
    </w:p>
    <w:p w:rsidR="00D25841" w:rsidRPr="00EE3F27" w:rsidRDefault="00B71B7C" w:rsidP="00E335C2">
      <w:pPr>
        <w:tabs>
          <w:tab w:val="left" w:pos="-284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3F27">
        <w:rPr>
          <w:rFonts w:ascii="Arial" w:eastAsia="Times New Roman" w:hAnsi="Arial" w:cs="Arial"/>
          <w:sz w:val="24"/>
          <w:szCs w:val="24"/>
        </w:rPr>
        <w:t xml:space="preserve">4. </w:t>
      </w:r>
      <w:proofErr w:type="gramStart"/>
      <w:r w:rsidRPr="00EE3F27">
        <w:rPr>
          <w:rFonts w:ascii="Arial" w:eastAsia="Times New Roman" w:hAnsi="Arial" w:cs="Arial"/>
          <w:sz w:val="24"/>
          <w:szCs w:val="24"/>
        </w:rPr>
        <w:t>Освобождение от оплаты по договору на размещение нестационарного торгового объекта, предусмотренное пунктами 1 и 2 настоящего решения, оформляется дополнительным соглашением к договору, экземпляры которого должны быть переданы администрацией городского поселения - город Семилуки субъектам торговли для подписания в течение 15 календарн</w:t>
      </w:r>
      <w:r w:rsidR="00E300A7" w:rsidRPr="00EE3F27">
        <w:rPr>
          <w:rFonts w:ascii="Arial" w:eastAsia="Times New Roman" w:hAnsi="Arial" w:cs="Arial"/>
          <w:sz w:val="24"/>
          <w:szCs w:val="24"/>
        </w:rPr>
        <w:t>ых дней со дня принятия решения, указанного</w:t>
      </w:r>
      <w:r w:rsidRPr="00EE3F27">
        <w:rPr>
          <w:rFonts w:ascii="Arial" w:eastAsia="Times New Roman" w:hAnsi="Arial" w:cs="Arial"/>
          <w:sz w:val="24"/>
          <w:szCs w:val="24"/>
        </w:rPr>
        <w:t xml:space="preserve"> в пункте 3 настоящего решения.</w:t>
      </w:r>
      <w:proofErr w:type="gramEnd"/>
      <w:r w:rsidRPr="00EE3F27">
        <w:rPr>
          <w:rFonts w:ascii="Arial" w:eastAsia="Times New Roman" w:hAnsi="Arial" w:cs="Arial"/>
          <w:sz w:val="24"/>
          <w:szCs w:val="24"/>
        </w:rPr>
        <w:t xml:space="preserve"> В случае</w:t>
      </w:r>
      <w:proofErr w:type="gramStart"/>
      <w:r w:rsidRPr="00EE3F27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EE3F27">
        <w:rPr>
          <w:rFonts w:ascii="Arial" w:eastAsia="Times New Roman" w:hAnsi="Arial" w:cs="Arial"/>
          <w:sz w:val="24"/>
          <w:szCs w:val="24"/>
        </w:rPr>
        <w:t xml:space="preserve"> если в течение 15 календарных дней со дня получения экземпляров дополнительного соглашения к договору, субъектом торговли не будет передан в администрацию городского поселения - город Семилуки подписанный экземпляр дополнительного соглашения, данный субъект торговли лишается права на освобождение от оплаты по договору на размещение нестационарного торгового объекта, предусмотренного настоящим решением.</w:t>
      </w:r>
    </w:p>
    <w:p w:rsidR="00D25841" w:rsidRPr="00EE3F27" w:rsidRDefault="00B71B7C" w:rsidP="00E335C2">
      <w:pPr>
        <w:tabs>
          <w:tab w:val="left" w:pos="-142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3F27">
        <w:rPr>
          <w:rFonts w:ascii="Arial" w:eastAsia="Times New Roman" w:hAnsi="Arial" w:cs="Arial"/>
          <w:sz w:val="24"/>
          <w:szCs w:val="24"/>
        </w:rPr>
        <w:t xml:space="preserve">5. </w:t>
      </w:r>
      <w:proofErr w:type="gramStart"/>
      <w:r w:rsidRPr="00EE3F27">
        <w:rPr>
          <w:rFonts w:ascii="Arial" w:eastAsia="Times New Roman" w:hAnsi="Arial" w:cs="Arial"/>
          <w:sz w:val="24"/>
          <w:szCs w:val="24"/>
        </w:rPr>
        <w:t>Мера поддержки, предусмотренная пунктом 1 и 2 настоящего решения, не распространяется на субъекты торговли, в отношении которых по состоянию на 20.03.2020 составлены акты комиссии о несоответствии нестационарного торгового объекта условиям договора на размещение нестационарного торгового объекта и архитектурному решению, в части нарушений по</w:t>
      </w:r>
      <w:r w:rsidR="00EE3F27">
        <w:rPr>
          <w:rFonts w:ascii="Arial" w:eastAsia="Times New Roman" w:hAnsi="Arial" w:cs="Arial"/>
          <w:sz w:val="24"/>
          <w:szCs w:val="24"/>
        </w:rPr>
        <w:t xml:space="preserve"> </w:t>
      </w:r>
      <w:r w:rsidRPr="00EE3F27">
        <w:rPr>
          <w:rFonts w:ascii="Arial" w:eastAsia="Times New Roman" w:hAnsi="Arial" w:cs="Arial"/>
          <w:sz w:val="24"/>
          <w:szCs w:val="24"/>
        </w:rPr>
        <w:t>реализации группы товаров, которые не устранены на указанную дату в порядке, предусмотренном решением Совета народных депутатов городского</w:t>
      </w:r>
      <w:proofErr w:type="gramEnd"/>
      <w:r w:rsidRPr="00EE3F27">
        <w:rPr>
          <w:rFonts w:ascii="Arial" w:eastAsia="Times New Roman" w:hAnsi="Arial" w:cs="Arial"/>
          <w:sz w:val="24"/>
          <w:szCs w:val="24"/>
        </w:rPr>
        <w:t xml:space="preserve"> поселения - город Семилуки "Об утверждении Положения о порядке размещения нестационарных торговых объектов на территории городского </w:t>
      </w:r>
      <w:r w:rsidR="009E30ED" w:rsidRPr="00EE3F27">
        <w:rPr>
          <w:rFonts w:ascii="Arial" w:eastAsia="Times New Roman" w:hAnsi="Arial" w:cs="Arial"/>
          <w:sz w:val="24"/>
          <w:szCs w:val="24"/>
        </w:rPr>
        <w:t>поселения - город Семилуки», а также на арендаторов земельных участков, предоставленных под размещение нестационарных торговых объектов, с истекшим сроком действия договора.</w:t>
      </w:r>
    </w:p>
    <w:p w:rsidR="00D25841" w:rsidRPr="00EE3F27" w:rsidRDefault="00B71B7C" w:rsidP="00E335C2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3F27">
        <w:rPr>
          <w:rFonts w:ascii="Arial" w:eastAsia="Times New Roman" w:hAnsi="Arial" w:cs="Arial"/>
          <w:sz w:val="24"/>
          <w:szCs w:val="24"/>
        </w:rPr>
        <w:t xml:space="preserve">6. Субъекты торговли освобождаются </w:t>
      </w:r>
      <w:proofErr w:type="gramStart"/>
      <w:r w:rsidRPr="00EE3F27">
        <w:rPr>
          <w:rFonts w:ascii="Arial" w:eastAsia="Times New Roman" w:hAnsi="Arial" w:cs="Arial"/>
          <w:sz w:val="24"/>
          <w:szCs w:val="24"/>
        </w:rPr>
        <w:t xml:space="preserve">от уплаты пени за просрочку внесения оплаты по договору на размещение нестационарного торгового объекта на </w:t>
      </w:r>
      <w:r w:rsidRPr="00EE3F27">
        <w:rPr>
          <w:rFonts w:ascii="Arial" w:eastAsia="Times New Roman" w:hAnsi="Arial" w:cs="Arial"/>
          <w:sz w:val="24"/>
          <w:szCs w:val="24"/>
        </w:rPr>
        <w:lastRenderedPageBreak/>
        <w:t>территории</w:t>
      </w:r>
      <w:proofErr w:type="gramEnd"/>
      <w:r w:rsidRPr="00EE3F27">
        <w:rPr>
          <w:rFonts w:ascii="Arial" w:eastAsia="Times New Roman" w:hAnsi="Arial" w:cs="Arial"/>
          <w:sz w:val="24"/>
          <w:szCs w:val="24"/>
        </w:rPr>
        <w:t xml:space="preserve"> городского поселения - город Семилуки, иных мер ответственности за несоблюдение условий договора, связанных с оплатой, на период с 20.03.2020</w:t>
      </w:r>
      <w:r w:rsidR="00EF7BB0" w:rsidRPr="00EE3F27">
        <w:rPr>
          <w:rFonts w:ascii="Arial" w:eastAsia="Times New Roman" w:hAnsi="Arial" w:cs="Arial"/>
          <w:sz w:val="24"/>
          <w:szCs w:val="24"/>
        </w:rPr>
        <w:t xml:space="preserve"> г.</w:t>
      </w:r>
      <w:r w:rsidRPr="00EE3F27">
        <w:rPr>
          <w:rFonts w:ascii="Arial" w:eastAsia="Times New Roman" w:hAnsi="Arial" w:cs="Arial"/>
          <w:sz w:val="24"/>
          <w:szCs w:val="24"/>
        </w:rPr>
        <w:t xml:space="preserve"> по день окончания действия</w:t>
      </w:r>
      <w:r w:rsidR="00EE3F27">
        <w:rPr>
          <w:rFonts w:ascii="Arial" w:eastAsia="Times New Roman" w:hAnsi="Arial" w:cs="Arial"/>
          <w:sz w:val="24"/>
          <w:szCs w:val="24"/>
        </w:rPr>
        <w:t xml:space="preserve"> </w:t>
      </w:r>
      <w:r w:rsidRPr="00EE3F27">
        <w:rPr>
          <w:rFonts w:ascii="Arial" w:eastAsia="Times New Roman" w:hAnsi="Arial" w:cs="Arial"/>
          <w:sz w:val="24"/>
          <w:szCs w:val="24"/>
        </w:rPr>
        <w:t xml:space="preserve">режима повышенной готовности на территории Воронежской области. Предусмотренная настоящим пунктом мера поддержки не распространяется </w:t>
      </w:r>
      <w:proofErr w:type="gramStart"/>
      <w:r w:rsidRPr="00EE3F27">
        <w:rPr>
          <w:rFonts w:ascii="Arial" w:eastAsia="Times New Roman" w:hAnsi="Arial" w:cs="Arial"/>
          <w:sz w:val="24"/>
          <w:szCs w:val="24"/>
        </w:rPr>
        <w:t>на задолженность по оплате по договору на размещение нестационарного торгового объекта на территории</w:t>
      </w:r>
      <w:proofErr w:type="gramEnd"/>
      <w:r w:rsidRPr="00EE3F27">
        <w:rPr>
          <w:rFonts w:ascii="Arial" w:eastAsia="Times New Roman" w:hAnsi="Arial" w:cs="Arial"/>
          <w:sz w:val="24"/>
          <w:szCs w:val="24"/>
        </w:rPr>
        <w:t xml:space="preserve"> городского поселения - город Семилуки,</w:t>
      </w:r>
      <w:r w:rsidR="00EE3F27">
        <w:rPr>
          <w:rFonts w:ascii="Arial" w:eastAsia="Times New Roman" w:hAnsi="Arial" w:cs="Arial"/>
          <w:sz w:val="24"/>
          <w:szCs w:val="24"/>
        </w:rPr>
        <w:t xml:space="preserve"> </w:t>
      </w:r>
      <w:r w:rsidRPr="00EE3F27">
        <w:rPr>
          <w:rFonts w:ascii="Arial" w:eastAsia="Times New Roman" w:hAnsi="Arial" w:cs="Arial"/>
          <w:sz w:val="24"/>
          <w:szCs w:val="24"/>
        </w:rPr>
        <w:t>возникшую до 20.03.2020</w:t>
      </w:r>
      <w:r w:rsidR="00EF7BB0" w:rsidRPr="00EE3F27">
        <w:rPr>
          <w:rFonts w:ascii="Arial" w:eastAsia="Times New Roman" w:hAnsi="Arial" w:cs="Arial"/>
          <w:sz w:val="24"/>
          <w:szCs w:val="24"/>
        </w:rPr>
        <w:t xml:space="preserve"> г</w:t>
      </w:r>
      <w:r w:rsidRPr="00EE3F27">
        <w:rPr>
          <w:rFonts w:ascii="Arial" w:eastAsia="Times New Roman" w:hAnsi="Arial" w:cs="Arial"/>
          <w:sz w:val="24"/>
          <w:szCs w:val="24"/>
        </w:rPr>
        <w:t>.</w:t>
      </w:r>
      <w:r w:rsidR="00B004E8" w:rsidRPr="00EE3F27">
        <w:rPr>
          <w:rFonts w:ascii="Arial" w:eastAsia="Times New Roman" w:hAnsi="Arial" w:cs="Arial"/>
          <w:sz w:val="24"/>
          <w:szCs w:val="24"/>
        </w:rPr>
        <w:t xml:space="preserve"> А также на арендаторов земельных участков, предоставленных под размещение нестационарных торговых объектов, с истекшим сроком действия договора.</w:t>
      </w:r>
    </w:p>
    <w:p w:rsidR="00D25841" w:rsidRPr="00E335C2" w:rsidRDefault="00B004E8" w:rsidP="00E335C2">
      <w:pPr>
        <w:tabs>
          <w:tab w:val="left" w:pos="0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3F27">
        <w:rPr>
          <w:rFonts w:ascii="Arial" w:eastAsia="Times New Roman" w:hAnsi="Arial" w:cs="Arial"/>
          <w:sz w:val="24"/>
          <w:szCs w:val="24"/>
        </w:rPr>
        <w:t>7</w:t>
      </w:r>
      <w:r w:rsidR="00B71B7C" w:rsidRPr="00EE3F27">
        <w:rPr>
          <w:rFonts w:ascii="Arial" w:eastAsia="Times New Roman" w:hAnsi="Arial" w:cs="Arial"/>
          <w:sz w:val="24"/>
          <w:szCs w:val="24"/>
        </w:rPr>
        <w:t>. Решение вступает в силу со дня официального опубликования.</w:t>
      </w:r>
    </w:p>
    <w:p w:rsidR="0009427B" w:rsidRPr="0009427B" w:rsidRDefault="0009427B" w:rsidP="00E335C2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9427B">
        <w:rPr>
          <w:rFonts w:ascii="Arial" w:eastAsia="Times New Roman" w:hAnsi="Arial" w:cs="Arial"/>
          <w:sz w:val="24"/>
          <w:szCs w:val="24"/>
        </w:rPr>
        <w:t xml:space="preserve">8. </w:t>
      </w:r>
      <w:proofErr w:type="gramStart"/>
      <w:r w:rsidRPr="0009427B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09427B">
        <w:rPr>
          <w:rFonts w:ascii="Arial" w:eastAsia="Times New Roman" w:hAnsi="Arial" w:cs="Arial"/>
          <w:sz w:val="24"/>
          <w:szCs w:val="24"/>
        </w:rPr>
        <w:t xml:space="preserve"> исполнением настоящего решения возложить на администрацию городского поселения – город Семилуки (С.П. Жеребцов).</w:t>
      </w:r>
    </w:p>
    <w:p w:rsidR="00D25841" w:rsidRPr="00EE3F27" w:rsidRDefault="00D25841">
      <w:pPr>
        <w:tabs>
          <w:tab w:val="left" w:pos="0"/>
        </w:tabs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9"/>
        <w:gridCol w:w="4031"/>
      </w:tblGrid>
      <w:tr w:rsidR="00D25841" w:rsidRPr="00EE3F27" w:rsidTr="0009427B">
        <w:trPr>
          <w:trHeight w:val="1"/>
        </w:trPr>
        <w:tc>
          <w:tcPr>
            <w:tcW w:w="5539" w:type="dxa"/>
            <w:shd w:val="clear" w:color="000000" w:fill="FFFFFF"/>
            <w:tcMar>
              <w:left w:w="108" w:type="dxa"/>
              <w:right w:w="108" w:type="dxa"/>
            </w:tcMar>
          </w:tcPr>
          <w:p w:rsidR="00D25841" w:rsidRPr="00EE3F27" w:rsidRDefault="00B71B7C">
            <w:pPr>
              <w:spacing w:after="0" w:line="240" w:lineRule="auto"/>
              <w:ind w:right="-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F27">
              <w:rPr>
                <w:rFonts w:ascii="Arial" w:eastAsia="Times New Roman" w:hAnsi="Arial" w:cs="Arial"/>
                <w:sz w:val="24"/>
                <w:szCs w:val="24"/>
              </w:rPr>
              <w:t>Глава городского поселени</w:t>
            </w:r>
            <w:proofErr w:type="gramStart"/>
            <w:r w:rsidRPr="00EE3F27">
              <w:rPr>
                <w:rFonts w:ascii="Arial" w:eastAsia="Times New Roman" w:hAnsi="Arial" w:cs="Arial"/>
                <w:sz w:val="24"/>
                <w:szCs w:val="24"/>
              </w:rPr>
              <w:t>я-</w:t>
            </w:r>
            <w:proofErr w:type="gramEnd"/>
            <w:r w:rsidRPr="00EE3F27">
              <w:rPr>
                <w:rFonts w:ascii="Arial" w:eastAsia="Times New Roman" w:hAnsi="Arial" w:cs="Arial"/>
                <w:sz w:val="24"/>
                <w:szCs w:val="24"/>
              </w:rPr>
              <w:t xml:space="preserve"> город Семилуки</w:t>
            </w:r>
          </w:p>
        </w:tc>
        <w:tc>
          <w:tcPr>
            <w:tcW w:w="4031" w:type="dxa"/>
            <w:shd w:val="clear" w:color="000000" w:fill="FFFFFF"/>
            <w:tcMar>
              <w:left w:w="108" w:type="dxa"/>
              <w:right w:w="108" w:type="dxa"/>
            </w:tcMar>
          </w:tcPr>
          <w:p w:rsidR="00D25841" w:rsidRPr="00EE3F27" w:rsidRDefault="00B71B7C">
            <w:pPr>
              <w:spacing w:after="0" w:line="240" w:lineRule="auto"/>
              <w:ind w:right="-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3F27">
              <w:rPr>
                <w:rFonts w:ascii="Arial" w:eastAsia="Times New Roman" w:hAnsi="Arial" w:cs="Arial"/>
                <w:sz w:val="24"/>
                <w:szCs w:val="24"/>
              </w:rPr>
              <w:t xml:space="preserve">С.И. </w:t>
            </w:r>
            <w:proofErr w:type="spellStart"/>
            <w:r w:rsidRPr="00EE3F27">
              <w:rPr>
                <w:rFonts w:ascii="Arial" w:eastAsia="Times New Roman" w:hAnsi="Arial" w:cs="Arial"/>
                <w:sz w:val="24"/>
                <w:szCs w:val="24"/>
              </w:rPr>
              <w:t>Маршавин</w:t>
            </w:r>
            <w:proofErr w:type="spellEnd"/>
          </w:p>
        </w:tc>
      </w:tr>
    </w:tbl>
    <w:p w:rsidR="00D25841" w:rsidRPr="00EE3F27" w:rsidRDefault="00D25841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25841" w:rsidRPr="00EE3F27" w:rsidRDefault="00D25841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25841" w:rsidRPr="00EE3F27" w:rsidRDefault="00D25841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D25841" w:rsidRPr="00EE3F27" w:rsidSect="00DD5907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5841"/>
    <w:rsid w:val="0009427B"/>
    <w:rsid w:val="003C6D5D"/>
    <w:rsid w:val="009E30ED"/>
    <w:rsid w:val="00B004E8"/>
    <w:rsid w:val="00B71B7C"/>
    <w:rsid w:val="00CC5214"/>
    <w:rsid w:val="00D25841"/>
    <w:rsid w:val="00DD5907"/>
    <w:rsid w:val="00E300A7"/>
    <w:rsid w:val="00E335C2"/>
    <w:rsid w:val="00EE3F27"/>
    <w:rsid w:val="00EF7BB0"/>
    <w:rsid w:val="00F8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cp:lastPrinted>2020-06-25T06:43:00Z</cp:lastPrinted>
  <dcterms:created xsi:type="dcterms:W3CDTF">2020-06-01T11:07:00Z</dcterms:created>
  <dcterms:modified xsi:type="dcterms:W3CDTF">2020-06-25T06:44:00Z</dcterms:modified>
</cp:coreProperties>
</file>